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b/>
          <w:color w:val="212529"/>
          <w:spacing w:val="0"/>
          <w:position w:val="0"/>
          <w:sz w:val="24"/>
          <w:shd w:fill="FEFEFE" w:val="clear"/>
        </w:rPr>
        <w:t xml:space="preserve">Политика в отношении обработки персональных данных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1. </w:t>
      </w: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«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 персональных данных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»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и определяет порядок обработки персональных данных и меры по обеспечению безопасности персональных данных.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Макаров Иван Иванович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(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далее – Оператор) 121165, Москва, ул.Студенческая, д.44/28.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http://garantzaim.ru/.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2. </w:t>
      </w: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Основные понятия, используемые в Политике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http://garantzaim.ru/;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http://garantzaim.ru/;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Пользователь – любой посетитель веб-сайта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http://garantzaim.ru/;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3. </w:t>
      </w: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Оператор может обрабатывать следующие персональные данные Пользователя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Фамилия, имя, отчество;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Электронный адрес;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Номера телефонов;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Фотографии;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Также на сайте происходит сбор и обработка обезличенных данных о посетителях (в т.ч. файлов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«cookie»)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с помощью сервисов интернет-статистики (Яндекс Метрика и Гугл Аналитика и других).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Вышеперечисленные данные далее по тексту Политики объединены общим понятием Персональные данные.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4. </w:t>
      </w: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Цели обработки персональных данных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Цель обработки персональных данных Пользователя —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веб-сайте; предоставление информации по условиям займа.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yagarantzaim@yandex.ru 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с пометкой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«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Отказ от уведомлениях о новых продуктах и услугах и специальных предложениях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».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5. </w:t>
      </w: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Правовые основания обработки персональных данных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http://garantzaim.ru/.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«cookie»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и использование технологии JavaScript).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6. </w:t>
      </w: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Порядок сбора, хранения, передачи и других видов обработки персональных данных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yagarantzaim@yandex.ru 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с пометкой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«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Актуализация персональных данных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».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Оператораyagarantzaim@yandex.ru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с пометкой 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«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Отзыв согласия на обработку персональных данных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7. </w:t>
      </w: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Трансграничная передача персональных данных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</w:t>
      </w:r>
    </w:p>
    <w:p>
      <w:pPr>
        <w:spacing w:before="0" w:after="100" w:line="240"/>
        <w:ind w:right="0" w:left="0" w:firstLine="0"/>
        <w:jc w:val="left"/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8. </w:t>
      </w:r>
      <w:r>
        <w:rPr>
          <w:rFonts w:ascii="Segoe UI" w:hAnsi="Segoe UI" w:cs="Segoe UI" w:eastAsia="Segoe UI"/>
          <w:color w:val="212529"/>
          <w:spacing w:val="0"/>
          <w:position w:val="0"/>
          <w:sz w:val="20"/>
          <w:shd w:fill="FEFEFE" w:val="clear"/>
        </w:rPr>
        <w:t xml:space="preserve">Заключительные положения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yagarantzaim@yandex.ru.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495" w:hanging="360"/>
        <w:jc w:val="left"/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</w:pP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Актуальная версия Политики в свободном доступе расположена в сети Интернет по адресу</w:t>
      </w:r>
      <w:r>
        <w:rPr>
          <w:rFonts w:ascii="Segoe UI" w:hAnsi="Segoe UI" w:cs="Segoe UI" w:eastAsia="Segoe UI"/>
          <w:color w:val="212529"/>
          <w:spacing w:val="0"/>
          <w:position w:val="0"/>
          <w:sz w:val="24"/>
          <w:shd w:fill="FEFEFE" w:val="clear"/>
        </w:rPr>
        <w:t xml:space="preserve"> http://garantzaim.ru/policy/policy_garantzaim.ru.docx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6">
    <w:abstractNumId w:val="36"/>
  </w:num>
  <w:num w:numId="9">
    <w:abstractNumId w:val="30"/>
  </w:num>
  <w:num w:numId="12">
    <w:abstractNumId w:val="24"/>
  </w:num>
  <w:num w:numId="15">
    <w:abstractNumId w:val="18"/>
  </w:num>
  <w:num w:numId="19">
    <w:abstractNumId w:val="12"/>
  </w:num>
  <w:num w:numId="22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